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Программные средства, применяемые в сфере управления проектами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2.1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«Программные средства, применяемые в сфере управления проектами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«Программные средства, применяемые в сфере управления проектами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«Программные средства, применяемые в сфере управления проектами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прикладные программные средства, применяемые в сфере управления проектами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4.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«Программные средства, применяемые в сфере управления проектами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механизм реализации проектов</w:t>
            </w:r>
          </w:p>
          <w:p>
            <w:pPr>
              <w:jc w:val="left"/>
              <w:spacing w:after="0" w:line="240" w:lineRule="auto"/>
              <w:rPr>
                <w:sz w:val="24"/>
                <w:szCs w:val="24"/>
              </w:rPr>
            </w:pPr>
            <w:r>
              <w:rPr>
                <w:rFonts w:ascii="Times New Roman" w:hAnsi="Times New Roman" w:cs="Times New Roman"/>
                <w:b/>
                <w:color w:val="#000000"/>
                <w:sz w:val="24"/>
                <w:szCs w:val="24"/>
              </w:rPr>
              <w:t>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p>
            <w:pPr>
              <w:jc w:val="left"/>
              <w:spacing w:after="0" w:line="240" w:lineRule="auto"/>
              <w:rPr>
                <w:sz w:val="24"/>
                <w:szCs w:val="24"/>
              </w:rPr>
            </w:pPr>
            <w:r>
              <w:rPr>
                <w:rFonts w:ascii="Times New Roman" w:hAnsi="Times New Roman" w:cs="Times New Roman"/>
                <w:color w:val="#000000"/>
                <w:sz w:val="24"/>
                <w:szCs w:val="24"/>
              </w:rPr>
              <w:t> государственно-частного партнерства. Объекты и процессы управления в проектах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процессы управления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отдельными функциональными областями проектов государственно- частногопартнерства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инструментарий, применяемый на разных стадиях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4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Государственно-частное партнерство: сущность и механизм реализации проектов</w:t>
            </w:r>
          </w:p>
          <w:p>
            <w:pPr>
              <w:jc w:val="center"/>
              <w:spacing w:after="0" w:line="240" w:lineRule="auto"/>
              <w:rPr>
                <w:sz w:val="24"/>
                <w:szCs w:val="24"/>
              </w:rPr>
            </w:pPr>
            <w:r>
              <w:rPr>
                <w:rFonts w:ascii="Times New Roman" w:hAnsi="Times New Roman" w:cs="Times New Roman"/>
                <w:b/>
                <w:color w:val="#000000"/>
                <w:sz w:val="24"/>
                <w:szCs w:val="24"/>
              </w:rPr>
              <w:t> государственно-частного партнерства. Объекты и процессы управления в проектах государственно-частного партнерства</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государственно-частного партнерства.  Организационные основы управленияпроектамигосударственно-частного партнерства. Опыт развития государственно-частного партнерствав регионах РФ.</w:t>
            </w:r>
          </w:p>
          <w:p>
            <w:pPr>
              <w:jc w:val="both"/>
              <w:spacing w:after="0" w:line="240" w:lineRule="auto"/>
              <w:rPr>
                <w:sz w:val="24"/>
                <w:szCs w:val="24"/>
              </w:rPr>
            </w:pPr>
            <w:r>
              <w:rPr>
                <w:rFonts w:ascii="Times New Roman" w:hAnsi="Times New Roman" w:cs="Times New Roman"/>
                <w:color w:val="#000000"/>
                <w:sz w:val="24"/>
                <w:szCs w:val="24"/>
              </w:rPr>
              <w:t> Объекты управления в проектах государственно-частногопартнерства. Основные процессы в управлении проектамигосударственно-частного партнерства.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сроками проекта</w:t>
            </w:r>
          </w:p>
          <w:p>
            <w:pPr>
              <w:jc w:val="both"/>
              <w:spacing w:after="0" w:line="240" w:lineRule="auto"/>
              <w:rPr>
                <w:sz w:val="24"/>
                <w:szCs w:val="24"/>
              </w:rPr>
            </w:pPr>
            <w:r>
              <w:rPr>
                <w:rFonts w:ascii="Times New Roman" w:hAnsi="Times New Roman" w:cs="Times New Roman"/>
                <w:color w:val="#000000"/>
                <w:sz w:val="24"/>
                <w:szCs w:val="24"/>
              </w:rPr>
              <w:t> 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 Понятие длительности операций, периода времени выполнения операций. Разработка расписания. Базовый план расписания. Управление расписанием. Отчетность о прогрессе проекта. Анализ отклонений по срокам. Управление расписанием.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«Программные средства, применяемые в сфере управления проектами государственно-частного партнерства»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2024-2025_ФГОС3++2024_Маг-ЗФО-ГМУ(ГРЭ)(24)_plx_Программные средства_ применяемые в сфере управления проектами государственно-частного партнерства</dc:title>
  <dc:creator>FastReport.NET</dc:creator>
</cp:coreProperties>
</file>